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9F95" w14:textId="2CA07531" w:rsidR="00757B01" w:rsidRDefault="006B6CD9">
      <w:r>
        <w:rPr>
          <w:rStyle w:val="Strong"/>
        </w:rPr>
        <w:t>Audit Papers 2021 - 2022</w:t>
      </w:r>
      <w:r>
        <w:rPr>
          <w:b/>
          <w:bCs/>
        </w:rPr>
        <w:br/>
      </w:r>
      <w:hyperlink r:id="rId4" w:history="1">
        <w:r>
          <w:rPr>
            <w:rStyle w:val="Hyperlink"/>
            <w:color w:val="3366FF"/>
          </w:rPr>
          <w:t>External Auditor Report and Certificate 2021/2022 </w:t>
        </w:r>
      </w:hyperlink>
      <w:r>
        <w:rPr>
          <w:color w:val="3366FF"/>
        </w:rPr>
        <w:br/>
      </w:r>
      <w:hyperlink r:id="rId5" w:history="1">
        <w:r>
          <w:rPr>
            <w:rStyle w:val="Hyperlink"/>
            <w:color w:val="3366FF"/>
          </w:rPr>
          <w:t>Notice of Conclusion of Audit</w:t>
        </w:r>
      </w:hyperlink>
      <w:r>
        <w:rPr>
          <w:color w:val="3366FF"/>
        </w:rPr>
        <w:br/>
      </w:r>
      <w:hyperlink r:id="rId6" w:history="1">
        <w:r>
          <w:rPr>
            <w:rStyle w:val="Hyperlink"/>
            <w:color w:val="3366FF"/>
          </w:rPr>
          <w:t>End of Year 2022 Cashbook - Receipts</w:t>
        </w:r>
      </w:hyperlink>
      <w:r>
        <w:rPr>
          <w:color w:val="3366FF"/>
        </w:rPr>
        <w:br/>
      </w:r>
      <w:hyperlink r:id="rId7" w:history="1">
        <w:r>
          <w:rPr>
            <w:rStyle w:val="Hyperlink"/>
            <w:color w:val="3366FF"/>
          </w:rPr>
          <w:t>End of Year 2022 Cashbook - Payments</w:t>
        </w:r>
      </w:hyperlink>
      <w:r>
        <w:rPr>
          <w:color w:val="3366FF"/>
        </w:rPr>
        <w:br/>
      </w:r>
      <w:hyperlink r:id="rId8" w:history="1">
        <w:r>
          <w:rPr>
            <w:rStyle w:val="Hyperlink"/>
            <w:color w:val="3366FF"/>
          </w:rPr>
          <w:t xml:space="preserve">End of Year Cashbook - Bank </w:t>
        </w:r>
        <w:r>
          <w:rPr>
            <w:rStyle w:val="Hyperlink"/>
            <w:color w:val="3366FF"/>
          </w:rPr>
          <w:t>Reconciliation</w:t>
        </w:r>
        <w:r>
          <w:rPr>
            <w:rStyle w:val="Hyperlink"/>
            <w:color w:val="3366FF"/>
          </w:rPr>
          <w:t xml:space="preserve"> Summary 31.3.2022</w:t>
        </w:r>
      </w:hyperlink>
      <w:r>
        <w:rPr>
          <w:color w:val="3366FF"/>
        </w:rPr>
        <w:br/>
      </w:r>
      <w:hyperlink r:id="rId9" w:history="1">
        <w:r>
          <w:rPr>
            <w:rStyle w:val="Hyperlink"/>
            <w:color w:val="3366FF"/>
          </w:rPr>
          <w:t>High Reserves</w:t>
        </w:r>
      </w:hyperlink>
      <w:r>
        <w:rPr>
          <w:color w:val="3366FF"/>
        </w:rPr>
        <w:br/>
      </w:r>
      <w:hyperlink r:id="rId10" w:history="1">
        <w:r>
          <w:rPr>
            <w:rStyle w:val="Hyperlink"/>
            <w:color w:val="3366FF"/>
          </w:rPr>
          <w:t>AGAR Section 1</w:t>
        </w:r>
      </w:hyperlink>
      <w:r>
        <w:rPr>
          <w:color w:val="3366FF"/>
        </w:rPr>
        <w:br/>
      </w:r>
      <w:hyperlink r:id="rId11" w:history="1">
        <w:r>
          <w:rPr>
            <w:rStyle w:val="Hyperlink"/>
            <w:color w:val="3366FF"/>
          </w:rPr>
          <w:t>Notice of Exercise of Public Rights 2022</w:t>
        </w:r>
      </w:hyperlink>
      <w:r>
        <w:rPr>
          <w:color w:val="3366FF"/>
        </w:rPr>
        <w:br/>
      </w:r>
      <w:hyperlink r:id="rId12" w:history="1">
        <w:r>
          <w:rPr>
            <w:rStyle w:val="Hyperlink"/>
            <w:color w:val="3366FF"/>
          </w:rPr>
          <w:t>Internal Audit Report</w:t>
        </w:r>
      </w:hyperlink>
      <w:r>
        <w:rPr>
          <w:color w:val="3366FF"/>
        </w:rPr>
        <w:br/>
      </w:r>
      <w:hyperlink r:id="rId13" w:history="1">
        <w:r>
          <w:rPr>
            <w:rStyle w:val="Hyperlink"/>
            <w:color w:val="3366FF"/>
          </w:rPr>
          <w:t>Internal Audit Report Section 2</w:t>
        </w:r>
      </w:hyperlink>
    </w:p>
    <w:sectPr w:rsidR="00757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D9"/>
    <w:rsid w:val="006B6CD9"/>
    <w:rsid w:val="00757B01"/>
    <w:rsid w:val="00B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D3A7"/>
  <w15:chartTrackingRefBased/>
  <w15:docId w15:val="{B51C30A8-21C3-4976-8EA2-5F341D6F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6C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6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hpcsomerset.com/wp-content/uploads/2022/12/Eend-of-Year-Cashbook-Bank-Reconcilation-Summary-31.3.2022.pdf" TargetMode="External"/><Relationship Id="rId13" Type="http://schemas.openxmlformats.org/officeDocument/2006/relationships/hyperlink" Target="https://ashpcsomerset.com/wp-content/uploads/2022/06/Ash-Internal-Audit-Report-Section-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hpcsomerset.com/wp-content/uploads/2022/12/EoY-22-Cashbook-Payments1.pdf" TargetMode="External"/><Relationship Id="rId12" Type="http://schemas.openxmlformats.org/officeDocument/2006/relationships/hyperlink" Target="https://ashpcsomerset.com/wp-content/uploads/2022/06/Ash-Internal-Audit-Repor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hpcsomerset.com/wp-content/uploads/2022/08/EoY-22-Cashbook-Receipts.pdf" TargetMode="External"/><Relationship Id="rId11" Type="http://schemas.openxmlformats.org/officeDocument/2006/relationships/hyperlink" Target="https://ashpcsomerset.com/wp-content/uploads/2022/06/Notice-2022.pdf" TargetMode="External"/><Relationship Id="rId5" Type="http://schemas.openxmlformats.org/officeDocument/2006/relationships/hyperlink" Target="https://ashpcsomerset.com/wp-content/uploads/2022/08/Conclusion-notice-ASH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shpcsomerset.com/wp-content/uploads/2022/06/Ash-AGAR-Section-1.pdf" TargetMode="External"/><Relationship Id="rId4" Type="http://schemas.openxmlformats.org/officeDocument/2006/relationships/hyperlink" Target="https://ashpcsomerset.com/wp-content/uploads/2022/08/PKF-Conclusion-ASH-3.pdf" TargetMode="External"/><Relationship Id="rId9" Type="http://schemas.openxmlformats.org/officeDocument/2006/relationships/hyperlink" Target="https://ashpcsomerset.com/wp-content/uploads/2022/06/Ash-High-Reserv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Groves</dc:creator>
  <cp:keywords/>
  <dc:description/>
  <cp:lastModifiedBy>Antoinette Groves</cp:lastModifiedBy>
  <cp:revision>1</cp:revision>
  <dcterms:created xsi:type="dcterms:W3CDTF">2023-04-12T11:26:00Z</dcterms:created>
  <dcterms:modified xsi:type="dcterms:W3CDTF">2023-04-12T11:27:00Z</dcterms:modified>
</cp:coreProperties>
</file>